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D2E8" w14:textId="79D25687" w:rsidR="0079025C" w:rsidRDefault="0079025C" w:rsidP="003E30B4">
      <w:pPr>
        <w:tabs>
          <w:tab w:val="left" w:pos="7383"/>
        </w:tabs>
        <w:spacing w:after="0" w:line="240" w:lineRule="auto"/>
        <w:ind w:right="-2"/>
        <w:jc w:val="both"/>
        <w:rPr>
          <w:b/>
          <w:bCs/>
          <w:sz w:val="20"/>
          <w:szCs w:val="20"/>
        </w:rPr>
      </w:pPr>
      <w:r>
        <w:rPr>
          <w:rFonts w:ascii="Calibri" w:hAnsi="Calibri" w:cs="Calibri"/>
          <w:noProof/>
          <w:sz w:val="20"/>
          <w:szCs w:val="20"/>
        </w:rPr>
        <w:drawing>
          <wp:anchor distT="0" distB="0" distL="114300" distR="114300" simplePos="0" relativeHeight="251659264" behindDoc="0" locked="0" layoutInCell="1" allowOverlap="1" wp14:anchorId="032C4857" wp14:editId="0DBB132B">
            <wp:simplePos x="0" y="0"/>
            <wp:positionH relativeFrom="column">
              <wp:posOffset>-190500</wp:posOffset>
            </wp:positionH>
            <wp:positionV relativeFrom="paragraph">
              <wp:posOffset>-165100</wp:posOffset>
            </wp:positionV>
            <wp:extent cx="1951200" cy="784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2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80B9C" w14:textId="573A7CCB" w:rsidR="0079025C" w:rsidRDefault="0079025C" w:rsidP="003E30B4">
      <w:pPr>
        <w:tabs>
          <w:tab w:val="left" w:pos="7383"/>
        </w:tabs>
        <w:spacing w:after="0" w:line="240" w:lineRule="auto"/>
        <w:ind w:right="-2"/>
        <w:jc w:val="both"/>
        <w:rPr>
          <w:b/>
          <w:bCs/>
          <w:sz w:val="20"/>
          <w:szCs w:val="20"/>
        </w:rPr>
      </w:pPr>
    </w:p>
    <w:p w14:paraId="458E2371" w14:textId="1DDCE0C8" w:rsidR="0079025C" w:rsidRDefault="006F12E0" w:rsidP="003E30B4">
      <w:pPr>
        <w:tabs>
          <w:tab w:val="left" w:pos="7383"/>
        </w:tabs>
        <w:spacing w:after="0" w:line="240" w:lineRule="auto"/>
        <w:ind w:right="-2"/>
        <w:jc w:val="both"/>
        <w:rPr>
          <w:b/>
          <w:bCs/>
          <w:sz w:val="20"/>
          <w:szCs w:val="20"/>
        </w:rPr>
      </w:pPr>
      <w:r w:rsidRPr="006F12E0">
        <w:rPr>
          <w:b/>
          <w:bCs/>
          <w:sz w:val="20"/>
          <w:szCs w:val="20"/>
        </w:rPr>
        <w:t xml:space="preserve">    </w:t>
      </w:r>
    </w:p>
    <w:p w14:paraId="07E7F91C" w14:textId="6EE4960D" w:rsidR="0079025C" w:rsidRDefault="0079025C" w:rsidP="003E30B4">
      <w:pPr>
        <w:tabs>
          <w:tab w:val="left" w:pos="7383"/>
        </w:tabs>
        <w:spacing w:after="0" w:line="240" w:lineRule="auto"/>
        <w:ind w:right="-2"/>
        <w:jc w:val="both"/>
        <w:rPr>
          <w:b/>
          <w:bCs/>
          <w:sz w:val="20"/>
          <w:szCs w:val="20"/>
        </w:rPr>
      </w:pPr>
    </w:p>
    <w:p w14:paraId="525D653C" w14:textId="5E1BF598" w:rsidR="0079025C" w:rsidRDefault="0079025C" w:rsidP="003E30B4">
      <w:pPr>
        <w:tabs>
          <w:tab w:val="left" w:pos="7383"/>
        </w:tabs>
        <w:spacing w:after="0" w:line="240" w:lineRule="auto"/>
        <w:ind w:right="-2"/>
        <w:jc w:val="both"/>
        <w:rPr>
          <w:b/>
          <w:bCs/>
          <w:sz w:val="20"/>
          <w:szCs w:val="20"/>
        </w:rPr>
      </w:pPr>
    </w:p>
    <w:p w14:paraId="71A9B815" w14:textId="77777777" w:rsidR="00946429" w:rsidRDefault="00946429" w:rsidP="003E30B4">
      <w:pPr>
        <w:tabs>
          <w:tab w:val="left" w:pos="7383"/>
        </w:tabs>
        <w:spacing w:after="0" w:line="240" w:lineRule="auto"/>
        <w:ind w:right="-2"/>
        <w:jc w:val="both"/>
        <w:rPr>
          <w:b/>
          <w:bCs/>
          <w:sz w:val="20"/>
          <w:szCs w:val="20"/>
        </w:rPr>
      </w:pPr>
    </w:p>
    <w:p w14:paraId="00EE6942" w14:textId="045B767A" w:rsidR="006F12E0" w:rsidRPr="00001390" w:rsidRDefault="00001390" w:rsidP="00F64CE9">
      <w:pPr>
        <w:tabs>
          <w:tab w:val="left" w:pos="7383"/>
        </w:tabs>
        <w:spacing w:after="0" w:line="240" w:lineRule="auto"/>
        <w:ind w:right="-2"/>
        <w:jc w:val="center"/>
        <w:rPr>
          <w:rFonts w:ascii="Lato" w:hAnsi="Lato"/>
          <w:b/>
          <w:bCs/>
          <w:sz w:val="32"/>
          <w:szCs w:val="32"/>
        </w:rPr>
      </w:pPr>
      <w:r w:rsidRPr="00001390">
        <w:rPr>
          <w:rFonts w:ascii="Lato" w:hAnsi="Lato"/>
          <w:b/>
          <w:bCs/>
          <w:sz w:val="32"/>
          <w:szCs w:val="32"/>
        </w:rPr>
        <w:t>Chef de pôle « affaires générales et commerces de proximité »</w:t>
      </w:r>
      <w:r w:rsidR="0079025C" w:rsidRPr="00001390">
        <w:rPr>
          <w:rFonts w:ascii="Lato" w:hAnsi="Lato"/>
          <w:b/>
          <w:bCs/>
          <w:sz w:val="32"/>
          <w:szCs w:val="32"/>
        </w:rPr>
        <w:t xml:space="preserve"> (H/F)</w:t>
      </w:r>
    </w:p>
    <w:p w14:paraId="617C2DE4" w14:textId="73F97D95" w:rsidR="0079025C" w:rsidRPr="00A23C83" w:rsidRDefault="0079025C" w:rsidP="0079025C">
      <w:pPr>
        <w:tabs>
          <w:tab w:val="left" w:pos="7383"/>
        </w:tabs>
        <w:spacing w:after="0" w:line="240" w:lineRule="auto"/>
        <w:ind w:right="-2"/>
        <w:jc w:val="center"/>
        <w:rPr>
          <w:rFonts w:ascii="Lato" w:hAnsi="Lato"/>
          <w:b/>
          <w:bCs/>
          <w:sz w:val="16"/>
          <w:szCs w:val="16"/>
        </w:rPr>
      </w:pPr>
    </w:p>
    <w:p w14:paraId="4553C3B3" w14:textId="7796BB79" w:rsidR="0079025C" w:rsidRDefault="0079025C" w:rsidP="0079025C">
      <w:pPr>
        <w:tabs>
          <w:tab w:val="left" w:pos="7383"/>
        </w:tabs>
        <w:spacing w:after="0" w:line="240" w:lineRule="auto"/>
        <w:ind w:right="-2"/>
        <w:jc w:val="center"/>
        <w:rPr>
          <w:rFonts w:ascii="Lato" w:hAnsi="Lato"/>
          <w:b/>
          <w:bCs/>
          <w:sz w:val="28"/>
          <w:szCs w:val="28"/>
        </w:rPr>
      </w:pPr>
      <w:r>
        <w:rPr>
          <w:rFonts w:ascii="Lato" w:hAnsi="Lato"/>
          <w:b/>
          <w:bCs/>
          <w:sz w:val="28"/>
          <w:szCs w:val="28"/>
        </w:rPr>
        <w:t xml:space="preserve">Cadre d’emploi des </w:t>
      </w:r>
      <w:r w:rsidR="00001390">
        <w:rPr>
          <w:rFonts w:ascii="Lato" w:hAnsi="Lato"/>
          <w:b/>
          <w:bCs/>
          <w:sz w:val="28"/>
          <w:szCs w:val="28"/>
        </w:rPr>
        <w:t xml:space="preserve">attachés </w:t>
      </w:r>
      <w:r w:rsidR="00A123A8">
        <w:rPr>
          <w:rFonts w:ascii="Lato" w:hAnsi="Lato"/>
          <w:b/>
          <w:bCs/>
          <w:sz w:val="28"/>
          <w:szCs w:val="28"/>
        </w:rPr>
        <w:t xml:space="preserve">(catégorie A) </w:t>
      </w:r>
      <w:r w:rsidR="00001390">
        <w:rPr>
          <w:rFonts w:ascii="Lato" w:hAnsi="Lato"/>
          <w:b/>
          <w:bCs/>
          <w:sz w:val="28"/>
          <w:szCs w:val="28"/>
        </w:rPr>
        <w:t xml:space="preserve">ou </w:t>
      </w:r>
      <w:r>
        <w:rPr>
          <w:rFonts w:ascii="Lato" w:hAnsi="Lato"/>
          <w:b/>
          <w:bCs/>
          <w:sz w:val="28"/>
          <w:szCs w:val="28"/>
        </w:rPr>
        <w:t>rédacteurs territoriaux</w:t>
      </w:r>
      <w:r w:rsidR="00A123A8">
        <w:rPr>
          <w:rFonts w:ascii="Lato" w:hAnsi="Lato"/>
          <w:b/>
          <w:bCs/>
          <w:sz w:val="28"/>
          <w:szCs w:val="28"/>
        </w:rPr>
        <w:t xml:space="preserve"> (catégorie B)</w:t>
      </w:r>
    </w:p>
    <w:p w14:paraId="5BF7B632" w14:textId="49159420" w:rsidR="00F64CE9" w:rsidRDefault="00F64CE9" w:rsidP="0079025C">
      <w:pPr>
        <w:tabs>
          <w:tab w:val="left" w:pos="7383"/>
        </w:tabs>
        <w:spacing w:after="0" w:line="240" w:lineRule="auto"/>
        <w:ind w:right="-2"/>
        <w:jc w:val="center"/>
        <w:rPr>
          <w:rFonts w:ascii="Lato" w:hAnsi="Lato"/>
          <w:b/>
          <w:bCs/>
          <w:sz w:val="28"/>
          <w:szCs w:val="28"/>
        </w:rPr>
      </w:pPr>
    </w:p>
    <w:p w14:paraId="79EF6602" w14:textId="6BB9EA5F" w:rsidR="0079025C" w:rsidRPr="006424E2" w:rsidRDefault="0079025C" w:rsidP="0079025C">
      <w:pPr>
        <w:jc w:val="both"/>
        <w:rPr>
          <w:rFonts w:ascii="Lato" w:hAnsi="Lato" w:cs="Calibri"/>
          <w:sz w:val="20"/>
          <w:szCs w:val="20"/>
        </w:rPr>
      </w:pPr>
      <w:r w:rsidRPr="006424E2">
        <w:rPr>
          <w:rFonts w:ascii="Lato" w:hAnsi="Lato" w:cs="Calibri"/>
          <w:sz w:val="20"/>
          <w:szCs w:val="20"/>
        </w:rPr>
        <w:t>Située à 30 minutes de Nantes, au cœur du Vignoble, la Ville de Clisson (7 500 habitants), connue pour son festival international de musiques extrêmes (Hellfest) et reconnue pour son patrimoine architectural et paysager "à l'italienne", pour la vitalité de ses commerces et pour son dynamisme touristique, est un territoire attractif en plein essor concerné par de nombreux projets structurants.</w:t>
      </w:r>
    </w:p>
    <w:p w14:paraId="34B469E9" w14:textId="3D8676D8" w:rsidR="00001390" w:rsidRPr="00001390" w:rsidRDefault="00671B48" w:rsidP="00001390">
      <w:pPr>
        <w:jc w:val="both"/>
        <w:rPr>
          <w:rFonts w:ascii="Lato" w:hAnsi="Lato" w:cs="Calibri"/>
          <w:sz w:val="20"/>
          <w:szCs w:val="20"/>
        </w:rPr>
      </w:pPr>
      <w:r>
        <w:rPr>
          <w:rFonts w:ascii="Lato" w:hAnsi="Lato" w:cs="Calibri"/>
          <w:sz w:val="20"/>
          <w:szCs w:val="20"/>
        </w:rPr>
        <w:t>Dans le cadre du départ d’un agent en mutation</w:t>
      </w:r>
      <w:r w:rsidR="00001390">
        <w:rPr>
          <w:rFonts w:ascii="Lato" w:hAnsi="Lato" w:cs="Calibri"/>
          <w:sz w:val="20"/>
          <w:szCs w:val="20"/>
        </w:rPr>
        <w:t xml:space="preserve">, la Ville de Clisson </w:t>
      </w:r>
      <w:r w:rsidR="0079025C" w:rsidRPr="00A23C83">
        <w:rPr>
          <w:rFonts w:ascii="Lato" w:hAnsi="Lato" w:cs="Calibri"/>
          <w:sz w:val="20"/>
          <w:szCs w:val="20"/>
        </w:rPr>
        <w:t xml:space="preserve">recrute un(e) </w:t>
      </w:r>
      <w:r w:rsidR="00001390" w:rsidRPr="00001390">
        <w:rPr>
          <w:rFonts w:ascii="Lato" w:hAnsi="Lato" w:cs="Calibri"/>
          <w:sz w:val="20"/>
          <w:szCs w:val="20"/>
        </w:rPr>
        <w:t>chef(fe) de pôle « affaires générales et commerces de proximité »</w:t>
      </w:r>
      <w:r w:rsidR="0079025C" w:rsidRPr="00A23C83">
        <w:rPr>
          <w:rFonts w:ascii="Lato" w:hAnsi="Lato" w:cs="Calibri"/>
          <w:sz w:val="20"/>
          <w:szCs w:val="20"/>
        </w:rPr>
        <w:t>.</w:t>
      </w:r>
      <w:r w:rsidR="00001390">
        <w:rPr>
          <w:rFonts w:ascii="Lato" w:hAnsi="Lato" w:cs="Calibri"/>
          <w:sz w:val="20"/>
          <w:szCs w:val="20"/>
        </w:rPr>
        <w:t xml:space="preserve"> </w:t>
      </w:r>
      <w:r w:rsidR="00001390" w:rsidRPr="00001390">
        <w:rPr>
          <w:rFonts w:ascii="Lato" w:hAnsi="Lato" w:cs="Calibri"/>
          <w:sz w:val="20"/>
          <w:szCs w:val="20"/>
        </w:rPr>
        <w:t>En soutien de la Directrice générale adjointe « moyens généraux », le(a) chef(fe) de pôle garantit le bon fonctionnement des services dont il(elle) a la charge (accueil, état-civil, affaires funéraires, élections, commerces de proximité).</w:t>
      </w:r>
    </w:p>
    <w:p w14:paraId="1F30BA5B" w14:textId="29E6B22D" w:rsidR="00FD05FB" w:rsidRPr="0079025C" w:rsidRDefault="00FD05FB" w:rsidP="00525196">
      <w:pPr>
        <w:spacing w:after="0" w:line="240" w:lineRule="auto"/>
        <w:ind w:right="-2"/>
        <w:jc w:val="both"/>
        <w:rPr>
          <w:rFonts w:ascii="Lato" w:hAnsi="Lato"/>
          <w:sz w:val="20"/>
          <w:szCs w:val="20"/>
        </w:rPr>
      </w:pPr>
    </w:p>
    <w:p w14:paraId="3F7A81A7" w14:textId="38DA724D" w:rsidR="003A0065" w:rsidRPr="0079025C" w:rsidRDefault="003A0065" w:rsidP="003A0065">
      <w:pPr>
        <w:shd w:val="clear" w:color="auto" w:fill="D9D9D9" w:themeFill="background1" w:themeFillShade="D9"/>
        <w:spacing w:after="0" w:line="240" w:lineRule="auto"/>
        <w:ind w:right="-2"/>
        <w:jc w:val="both"/>
        <w:rPr>
          <w:rFonts w:ascii="Lato" w:hAnsi="Lato"/>
          <w:b/>
        </w:rPr>
      </w:pPr>
      <w:r w:rsidRPr="00EF3F35">
        <w:rPr>
          <w:rFonts w:ascii="Lato" w:hAnsi="Lato"/>
          <w:b/>
        </w:rPr>
        <w:t>MISSIONS PRINCIPALES</w:t>
      </w:r>
    </w:p>
    <w:p w14:paraId="3E1275AE" w14:textId="3AE1EC52" w:rsidR="00001390" w:rsidRPr="00946429" w:rsidRDefault="00001390" w:rsidP="00654C58">
      <w:pPr>
        <w:spacing w:before="240" w:after="0" w:line="240" w:lineRule="auto"/>
        <w:ind w:right="-2"/>
        <w:jc w:val="both"/>
        <w:rPr>
          <w:rFonts w:ascii="Lato" w:hAnsi="Lato" w:cs="Calibri"/>
          <w:sz w:val="20"/>
          <w:szCs w:val="20"/>
        </w:rPr>
      </w:pPr>
      <w:r w:rsidRPr="00946429">
        <w:rPr>
          <w:rFonts w:ascii="Lato" w:hAnsi="Lato" w:cs="Calibri"/>
          <w:sz w:val="20"/>
          <w:szCs w:val="20"/>
        </w:rPr>
        <w:t>Il(elle) assure le management du service composé de deux agents d’état-civil, d’un agent dédié au dispositif de recueil des titres sécurisés ainsi que deux agents d’accueil.</w:t>
      </w:r>
    </w:p>
    <w:p w14:paraId="67CC940E" w14:textId="2A933F6D" w:rsidR="00001390" w:rsidRPr="00946429" w:rsidRDefault="00001390" w:rsidP="00654C58">
      <w:pPr>
        <w:spacing w:before="240" w:after="0" w:line="240" w:lineRule="auto"/>
        <w:ind w:right="-2"/>
        <w:jc w:val="both"/>
        <w:rPr>
          <w:rFonts w:ascii="Lato" w:hAnsi="Lato" w:cs="Calibri"/>
          <w:sz w:val="20"/>
          <w:szCs w:val="20"/>
        </w:rPr>
      </w:pPr>
      <w:r w:rsidRPr="00946429">
        <w:rPr>
          <w:rFonts w:ascii="Lato" w:hAnsi="Lato" w:cs="Calibri"/>
          <w:sz w:val="20"/>
          <w:szCs w:val="20"/>
        </w:rPr>
        <w:t>Il(elle) garantit la sécurité juridique des actes produits par les services dont il a la charge (arrêtés, délibérations, règlements, conventions, courriers, notes de service…).</w:t>
      </w:r>
    </w:p>
    <w:p w14:paraId="2098E3CB" w14:textId="7CA57F45" w:rsidR="00001390" w:rsidRPr="00946429" w:rsidRDefault="00001390" w:rsidP="00654C58">
      <w:pPr>
        <w:spacing w:before="240" w:after="0" w:line="240" w:lineRule="auto"/>
        <w:ind w:right="-2"/>
        <w:jc w:val="both"/>
        <w:rPr>
          <w:rFonts w:ascii="Lato" w:hAnsi="Lato" w:cs="Calibri"/>
          <w:sz w:val="20"/>
          <w:szCs w:val="20"/>
        </w:rPr>
      </w:pPr>
      <w:r w:rsidRPr="00946429">
        <w:rPr>
          <w:rFonts w:ascii="Lato" w:hAnsi="Lato" w:cs="Calibri"/>
          <w:sz w:val="20"/>
          <w:szCs w:val="20"/>
        </w:rPr>
        <w:t>En lien avec l’adjoint à la vie économique, il(elle) est l’interlocuteur(trice) privilégié</w:t>
      </w:r>
      <w:r w:rsidR="00946429">
        <w:rPr>
          <w:rFonts w:ascii="Lato" w:hAnsi="Lato" w:cs="Calibri"/>
          <w:sz w:val="20"/>
          <w:szCs w:val="20"/>
        </w:rPr>
        <w:t>(e)</w:t>
      </w:r>
      <w:r w:rsidRPr="00946429">
        <w:rPr>
          <w:rFonts w:ascii="Lato" w:hAnsi="Lato" w:cs="Calibri"/>
          <w:sz w:val="20"/>
          <w:szCs w:val="20"/>
        </w:rPr>
        <w:t xml:space="preserve"> des commerçants de la Ville de Clisson</w:t>
      </w:r>
      <w:r w:rsidR="00654C58" w:rsidRPr="00946429">
        <w:rPr>
          <w:rFonts w:ascii="Lato" w:hAnsi="Lato" w:cs="Calibri"/>
          <w:sz w:val="20"/>
          <w:szCs w:val="20"/>
        </w:rPr>
        <w:t xml:space="preserve"> et des porteurs de projets.</w:t>
      </w:r>
    </w:p>
    <w:p w14:paraId="3CC07342" w14:textId="402017AD" w:rsidR="00001390" w:rsidRDefault="00001390" w:rsidP="003A0065">
      <w:pPr>
        <w:tabs>
          <w:tab w:val="left" w:pos="7383"/>
        </w:tabs>
        <w:spacing w:after="0" w:line="240" w:lineRule="auto"/>
        <w:ind w:right="-2"/>
        <w:jc w:val="both"/>
        <w:rPr>
          <w:rFonts w:ascii="Lato" w:hAnsi="Lato"/>
          <w:b/>
          <w:sz w:val="20"/>
          <w:szCs w:val="20"/>
        </w:rPr>
      </w:pPr>
    </w:p>
    <w:p w14:paraId="161A816D"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Etat-civil</w:t>
      </w:r>
    </w:p>
    <w:p w14:paraId="6F969B2F" w14:textId="2E5E1A93" w:rsidR="00001390" w:rsidRPr="00946429" w:rsidRDefault="00001390"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S’assurer du respect des dispositions législatives et réglementaires en matière d’état civil (filiation, changement de nom, mentions, instruction des mariages, mise à jour des tables d’état civil…),</w:t>
      </w:r>
    </w:p>
    <w:p w14:paraId="2255AFC1" w14:textId="16E21FAC" w:rsidR="00001390" w:rsidRPr="00946429" w:rsidRDefault="00001390"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Garantir le bon fonctionnement du dispositif de recueil des titres sécurisés et piloter le développement de ce service.</w:t>
      </w:r>
    </w:p>
    <w:p w14:paraId="36E128A2" w14:textId="77777777" w:rsidR="00001390" w:rsidRPr="00654C58" w:rsidRDefault="00001390" w:rsidP="00874411">
      <w:pPr>
        <w:spacing w:after="0" w:line="240" w:lineRule="auto"/>
        <w:ind w:right="-2"/>
        <w:jc w:val="both"/>
        <w:rPr>
          <w:rFonts w:ascii="Lato" w:hAnsi="Lato"/>
          <w:bCs/>
          <w:sz w:val="14"/>
          <w:szCs w:val="14"/>
        </w:rPr>
      </w:pPr>
    </w:p>
    <w:p w14:paraId="21B70F83"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Funéraire</w:t>
      </w:r>
    </w:p>
    <w:p w14:paraId="1AAEC4A9" w14:textId="217FC9EA" w:rsidR="00001390" w:rsidRPr="00946429" w:rsidRDefault="00001390"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Assurer la gestion administrative des deux cimetières communaux ainsi que la régie des taxes et concessions funéraires,</w:t>
      </w:r>
    </w:p>
    <w:p w14:paraId="3DBB3A6C" w14:textId="2970D355" w:rsidR="00001390" w:rsidRPr="00946429" w:rsidRDefault="00001390"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Garantir le respect de la législation funéraire et piloter tous les dossiers en lien avec la gestion des cimetières (reprise de concessions notamment).</w:t>
      </w:r>
    </w:p>
    <w:p w14:paraId="5EC73BB4" w14:textId="0AD2135A" w:rsidR="00F64CE9" w:rsidRPr="00654C58" w:rsidRDefault="00F64CE9" w:rsidP="00874411">
      <w:pPr>
        <w:spacing w:after="0" w:line="240" w:lineRule="auto"/>
        <w:ind w:right="-2"/>
        <w:jc w:val="both"/>
        <w:rPr>
          <w:rFonts w:ascii="Lato" w:hAnsi="Lato"/>
          <w:bCs/>
          <w:sz w:val="14"/>
          <w:szCs w:val="14"/>
        </w:rPr>
      </w:pPr>
    </w:p>
    <w:p w14:paraId="2A21265D"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Elections</w:t>
      </w:r>
    </w:p>
    <w:p w14:paraId="3F1D1605" w14:textId="73FD5143"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 xml:space="preserve">Piloter l’organisation matérielle et administrative des élections, </w:t>
      </w:r>
    </w:p>
    <w:p w14:paraId="17FF80A7" w14:textId="7721365D" w:rsidR="007E3805"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Garantir le strict respect de la réglementation en matière électorale, la bonne tenue des bureaux de vote et le bon déroulement des scrutins.</w:t>
      </w:r>
    </w:p>
    <w:p w14:paraId="6FA18490" w14:textId="701BED58" w:rsidR="00874411" w:rsidRPr="00654C58" w:rsidRDefault="00874411" w:rsidP="00874411">
      <w:pPr>
        <w:spacing w:after="0" w:line="240" w:lineRule="auto"/>
        <w:ind w:right="-2"/>
        <w:jc w:val="both"/>
        <w:rPr>
          <w:rFonts w:ascii="Lato" w:hAnsi="Lato"/>
          <w:bCs/>
          <w:sz w:val="14"/>
          <w:szCs w:val="14"/>
        </w:rPr>
      </w:pPr>
    </w:p>
    <w:p w14:paraId="3F38847A"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Commerces de proximité</w:t>
      </w:r>
    </w:p>
    <w:p w14:paraId="4B33F223" w14:textId="6D8B7F66"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Dans le cadre d’une collaboration étroite avec l’adjoint à la vie économique, instruire les différentes demandes reçues et garantir le suivi des décisions prises,</w:t>
      </w:r>
    </w:p>
    <w:p w14:paraId="22DD1729" w14:textId="646ABD9E"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Piloter la délégation de service public « marchés forains »,</w:t>
      </w:r>
    </w:p>
    <w:p w14:paraId="16CE4FB2" w14:textId="15205925"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Accompagner la valorisation et le développement du tissu commercial de proximité en lien avec les commerçants et les deux associations de commerçants.</w:t>
      </w:r>
    </w:p>
    <w:p w14:paraId="13194335" w14:textId="77777777" w:rsidR="00654C58" w:rsidRPr="00654C58" w:rsidRDefault="00654C58" w:rsidP="00874411">
      <w:pPr>
        <w:spacing w:after="0" w:line="240" w:lineRule="auto"/>
        <w:ind w:right="-2"/>
        <w:jc w:val="both"/>
        <w:rPr>
          <w:rFonts w:ascii="Lato" w:hAnsi="Lato"/>
          <w:bCs/>
          <w:sz w:val="14"/>
          <w:szCs w:val="14"/>
        </w:rPr>
      </w:pPr>
    </w:p>
    <w:p w14:paraId="474BA8FD"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Pilotage des projets en lien avec le commerce de proximité</w:t>
      </w:r>
    </w:p>
    <w:p w14:paraId="43435C6A" w14:textId="172A4218"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Piloter les projets prévus dans le « plan guide commerces 2022/2025 » de la Ville,</w:t>
      </w:r>
    </w:p>
    <w:p w14:paraId="0A3D21C2" w14:textId="5394A3A7"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Piloter le projet de création d’une maison des artisans d’art,</w:t>
      </w:r>
    </w:p>
    <w:p w14:paraId="6644BB62" w14:textId="465D4DDB" w:rsidR="00654C58" w:rsidRPr="00946429" w:rsidRDefault="00654C58" w:rsidP="00946429">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Garantir le dynamisme des animations commerciales de la Ville et superviser, en lien avec les services municipaux concernés, les manifestations liées aux commerces portées par la Ville.</w:t>
      </w:r>
    </w:p>
    <w:p w14:paraId="5987A149" w14:textId="2F953B58" w:rsidR="00946429" w:rsidRDefault="00946429">
      <w:pPr>
        <w:rPr>
          <w:rFonts w:ascii="Lato" w:hAnsi="Lato"/>
          <w:sz w:val="20"/>
          <w:szCs w:val="20"/>
          <w:highlight w:val="yellow"/>
        </w:rPr>
      </w:pPr>
      <w:r>
        <w:rPr>
          <w:rFonts w:ascii="Lato" w:hAnsi="Lato"/>
          <w:sz w:val="20"/>
          <w:szCs w:val="20"/>
          <w:highlight w:val="yellow"/>
        </w:rPr>
        <w:br w:type="page"/>
      </w:r>
    </w:p>
    <w:p w14:paraId="0B1274EA" w14:textId="77777777" w:rsidR="00654C58" w:rsidRDefault="00654C58" w:rsidP="00874411">
      <w:pPr>
        <w:spacing w:after="0" w:line="240" w:lineRule="auto"/>
        <w:ind w:right="-2"/>
        <w:jc w:val="both"/>
        <w:rPr>
          <w:rFonts w:ascii="Lato" w:hAnsi="Lato"/>
          <w:sz w:val="20"/>
          <w:szCs w:val="20"/>
          <w:highlight w:val="yellow"/>
        </w:rPr>
      </w:pPr>
    </w:p>
    <w:p w14:paraId="6F4C5971" w14:textId="3DA3632A" w:rsidR="00654C58" w:rsidRPr="003D10F8" w:rsidRDefault="00654C58" w:rsidP="00654C58">
      <w:pPr>
        <w:shd w:val="clear" w:color="auto" w:fill="D9D9D9" w:themeFill="background1" w:themeFillShade="D9"/>
        <w:spacing w:after="0" w:line="240" w:lineRule="auto"/>
        <w:ind w:right="-2"/>
        <w:jc w:val="both"/>
        <w:rPr>
          <w:rFonts w:ascii="Lato" w:hAnsi="Lato"/>
          <w:b/>
        </w:rPr>
      </w:pPr>
      <w:r>
        <w:rPr>
          <w:rFonts w:ascii="Lato" w:hAnsi="Lato"/>
          <w:b/>
        </w:rPr>
        <w:t>MISSIONS SECONDAIRES</w:t>
      </w:r>
    </w:p>
    <w:p w14:paraId="5F104201" w14:textId="77777777" w:rsidR="00654C58" w:rsidRDefault="00654C58" w:rsidP="00654C58">
      <w:pPr>
        <w:spacing w:after="0" w:line="240" w:lineRule="auto"/>
        <w:ind w:right="-2"/>
        <w:jc w:val="both"/>
        <w:rPr>
          <w:rFonts w:ascii="Lato" w:hAnsi="Lato"/>
          <w:sz w:val="20"/>
          <w:szCs w:val="20"/>
          <w:highlight w:val="yellow"/>
        </w:rPr>
      </w:pPr>
    </w:p>
    <w:p w14:paraId="54FAB081"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Recensement :</w:t>
      </w:r>
    </w:p>
    <w:p w14:paraId="305219D5" w14:textId="2FAA99B0"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Tous les 5 ans, en lien avec le superviseur de l’INSEE, piloter les opérations de recensement et en garantir la bonne organisation ainsi que le suivi.</w:t>
      </w:r>
    </w:p>
    <w:p w14:paraId="58B5D978" w14:textId="77777777" w:rsidR="00654C58" w:rsidRPr="00946429" w:rsidRDefault="00654C58" w:rsidP="00946429">
      <w:pPr>
        <w:spacing w:after="0" w:line="240" w:lineRule="auto"/>
        <w:ind w:right="-2"/>
        <w:jc w:val="both"/>
        <w:rPr>
          <w:rFonts w:ascii="Lato" w:hAnsi="Lato"/>
          <w:bCs/>
          <w:sz w:val="14"/>
          <w:szCs w:val="14"/>
        </w:rPr>
      </w:pPr>
    </w:p>
    <w:p w14:paraId="5364A94F"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Affaires générales, commerciales et touristiques :</w:t>
      </w:r>
    </w:p>
    <w:p w14:paraId="57C017EF" w14:textId="7D886C4F"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Gérer les demandes d’occupation du domaine public (terrasses) et de débits de boisson,</w:t>
      </w:r>
    </w:p>
    <w:p w14:paraId="7F631CAA" w14:textId="72548716"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Gérer les demandes de ventes au déballage,</w:t>
      </w:r>
    </w:p>
    <w:p w14:paraId="184F94BB" w14:textId="404B2B2B"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Gérer les déclarations de locations de meublés, gîtes…</w:t>
      </w:r>
    </w:p>
    <w:p w14:paraId="40097DDC" w14:textId="5F3CC90F"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Gérer les emplacements de taxis.</w:t>
      </w:r>
    </w:p>
    <w:p w14:paraId="472E360A" w14:textId="77777777" w:rsidR="00654C58" w:rsidRPr="00946429" w:rsidRDefault="00654C58" w:rsidP="00946429">
      <w:pPr>
        <w:spacing w:after="0" w:line="240" w:lineRule="auto"/>
        <w:ind w:right="-2"/>
        <w:jc w:val="both"/>
        <w:rPr>
          <w:rFonts w:ascii="Lato" w:hAnsi="Lato"/>
          <w:bCs/>
          <w:sz w:val="14"/>
          <w:szCs w:val="14"/>
        </w:rPr>
      </w:pPr>
    </w:p>
    <w:p w14:paraId="52DC04A9" w14:textId="77777777" w:rsidR="00654C58" w:rsidRPr="00946429" w:rsidRDefault="00654C58" w:rsidP="00654C58">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b/>
          <w:bCs/>
          <w:sz w:val="20"/>
          <w:szCs w:val="20"/>
        </w:rPr>
        <w:t>Archivage :</w:t>
      </w:r>
    </w:p>
    <w:p w14:paraId="5DAB97DE" w14:textId="50B439F3" w:rsidR="00654C58" w:rsidRPr="00946429" w:rsidRDefault="00654C58" w:rsidP="00654C58">
      <w:pPr>
        <w:pStyle w:val="Paragraphedeliste"/>
        <w:numPr>
          <w:ilvl w:val="1"/>
          <w:numId w:val="19"/>
        </w:numPr>
        <w:spacing w:after="0" w:line="240" w:lineRule="auto"/>
        <w:ind w:right="-2"/>
        <w:jc w:val="both"/>
        <w:rPr>
          <w:rFonts w:ascii="Lato" w:hAnsi="Lato" w:cs="Calibri"/>
          <w:sz w:val="20"/>
          <w:szCs w:val="20"/>
        </w:rPr>
      </w:pPr>
      <w:r w:rsidRPr="00946429">
        <w:rPr>
          <w:rFonts w:ascii="Lato" w:hAnsi="Lato" w:cs="Calibri"/>
          <w:sz w:val="20"/>
          <w:szCs w:val="20"/>
        </w:rPr>
        <w:t>Chaque année, en lien avec le Centre de gestion de Loire-Atlantique, piloter la mise à jour des archives de la Ville et du CCAS.</w:t>
      </w:r>
    </w:p>
    <w:p w14:paraId="4467BD56" w14:textId="77777777" w:rsidR="004C2985" w:rsidRPr="0079025C" w:rsidRDefault="004C2985" w:rsidP="00202D5E">
      <w:pPr>
        <w:spacing w:after="0" w:line="240" w:lineRule="auto"/>
        <w:ind w:right="-2"/>
        <w:jc w:val="both"/>
        <w:rPr>
          <w:rFonts w:ascii="Lato" w:hAnsi="Lato"/>
          <w:sz w:val="20"/>
          <w:szCs w:val="20"/>
        </w:rPr>
      </w:pPr>
    </w:p>
    <w:p w14:paraId="5AD763AF" w14:textId="11058A91" w:rsidR="00202D5E" w:rsidRPr="0079025C" w:rsidRDefault="007E3805" w:rsidP="00202D5E">
      <w:pPr>
        <w:shd w:val="clear" w:color="auto" w:fill="D9D9D9" w:themeFill="background1" w:themeFillShade="D9"/>
        <w:spacing w:after="0" w:line="240" w:lineRule="auto"/>
        <w:ind w:right="-2"/>
        <w:jc w:val="both"/>
        <w:rPr>
          <w:rFonts w:ascii="Lato" w:hAnsi="Lato"/>
          <w:b/>
        </w:rPr>
      </w:pPr>
      <w:r>
        <w:rPr>
          <w:rFonts w:ascii="Lato" w:hAnsi="Lato"/>
          <w:b/>
        </w:rPr>
        <w:t>COMPETENCES ATTENDUES</w:t>
      </w:r>
    </w:p>
    <w:p w14:paraId="14180971" w14:textId="2C7DDB9E" w:rsidR="00202D5E" w:rsidRPr="00946429" w:rsidRDefault="00202D5E" w:rsidP="00202D5E">
      <w:pPr>
        <w:spacing w:after="0" w:line="240" w:lineRule="auto"/>
        <w:ind w:right="-2"/>
        <w:jc w:val="both"/>
        <w:rPr>
          <w:rFonts w:ascii="Lato" w:hAnsi="Lato"/>
          <w:sz w:val="14"/>
          <w:szCs w:val="14"/>
        </w:rPr>
      </w:pPr>
    </w:p>
    <w:p w14:paraId="1E1C566C"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Environnement législatif et réglementaire des collectivités territoriales</w:t>
      </w:r>
    </w:p>
    <w:p w14:paraId="402C1EEA"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Législation en vigueur en matière funéraire et d’état-civil</w:t>
      </w:r>
    </w:p>
    <w:p w14:paraId="77AABAE4"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Législation en vigueur en matière électorale</w:t>
      </w:r>
    </w:p>
    <w:p w14:paraId="6BD0AC65"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Législation en vigueur en matière de commande publique</w:t>
      </w:r>
    </w:p>
    <w:p w14:paraId="3F728A5D"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Réglementation applicable aux activités commerciales et touristiques</w:t>
      </w:r>
    </w:p>
    <w:p w14:paraId="2832EC60" w14:textId="77777777" w:rsidR="00946429" w:rsidRPr="00483D1A" w:rsidRDefault="00946429" w:rsidP="00946429">
      <w:pPr>
        <w:pStyle w:val="Paragraphedeliste"/>
        <w:numPr>
          <w:ilvl w:val="0"/>
          <w:numId w:val="19"/>
        </w:numPr>
        <w:spacing w:after="0" w:line="240" w:lineRule="auto"/>
        <w:ind w:right="-2"/>
        <w:jc w:val="both"/>
        <w:rPr>
          <w:rFonts w:ascii="Lato" w:hAnsi="Lato" w:cs="Calibri"/>
        </w:rPr>
      </w:pPr>
      <w:r w:rsidRPr="00946429">
        <w:rPr>
          <w:rFonts w:ascii="Lato" w:hAnsi="Lato" w:cs="Calibri"/>
          <w:sz w:val="20"/>
          <w:szCs w:val="20"/>
        </w:rPr>
        <w:t>Réglementation applicable aux régies de recettes</w:t>
      </w:r>
    </w:p>
    <w:p w14:paraId="735EFCFC" w14:textId="77777777" w:rsidR="00946429" w:rsidRPr="0079025C" w:rsidRDefault="00946429" w:rsidP="00202D5E">
      <w:pPr>
        <w:spacing w:after="0" w:line="240" w:lineRule="auto"/>
        <w:ind w:right="-2"/>
        <w:jc w:val="both"/>
        <w:rPr>
          <w:rFonts w:ascii="Lato" w:hAnsi="Lato"/>
          <w:sz w:val="20"/>
          <w:szCs w:val="20"/>
        </w:rPr>
      </w:pPr>
    </w:p>
    <w:p w14:paraId="63B6A93B" w14:textId="77777777" w:rsidR="00154D86" w:rsidRPr="0079025C" w:rsidRDefault="00154D86" w:rsidP="00154D86">
      <w:pPr>
        <w:spacing w:after="0" w:line="240" w:lineRule="auto"/>
        <w:ind w:right="-2"/>
        <w:jc w:val="both"/>
        <w:rPr>
          <w:rFonts w:ascii="Lato" w:hAnsi="Lato"/>
          <w:b/>
        </w:rPr>
      </w:pPr>
    </w:p>
    <w:p w14:paraId="7187318B" w14:textId="77777777" w:rsidR="00202D5E" w:rsidRPr="0079025C" w:rsidRDefault="00202D5E" w:rsidP="00202D5E">
      <w:pPr>
        <w:shd w:val="clear" w:color="auto" w:fill="D9D9D9" w:themeFill="background1" w:themeFillShade="D9"/>
        <w:spacing w:after="0" w:line="240" w:lineRule="auto"/>
        <w:ind w:right="-2"/>
        <w:jc w:val="both"/>
        <w:rPr>
          <w:rFonts w:ascii="Lato" w:hAnsi="Lato"/>
          <w:b/>
        </w:rPr>
      </w:pPr>
      <w:r w:rsidRPr="0079025C">
        <w:rPr>
          <w:rFonts w:ascii="Lato" w:hAnsi="Lato"/>
          <w:b/>
        </w:rPr>
        <w:t>SAVOIR-FAIRE</w:t>
      </w:r>
    </w:p>
    <w:p w14:paraId="6A849E06" w14:textId="77777777" w:rsidR="00202D5E" w:rsidRPr="00946429" w:rsidRDefault="00202D5E" w:rsidP="00202D5E">
      <w:pPr>
        <w:spacing w:after="0" w:line="240" w:lineRule="auto"/>
        <w:ind w:right="-2"/>
        <w:jc w:val="both"/>
        <w:rPr>
          <w:rFonts w:ascii="Lato" w:hAnsi="Lato"/>
          <w:sz w:val="16"/>
          <w:szCs w:val="16"/>
        </w:rPr>
      </w:pPr>
    </w:p>
    <w:p w14:paraId="278FEBC3"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Aptitude à manager</w:t>
      </w:r>
    </w:p>
    <w:p w14:paraId="57546803"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Capacités rédactionnelles et de synthèse</w:t>
      </w:r>
    </w:p>
    <w:p w14:paraId="5C272290"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Capacité à travailler dans un cadre transversal</w:t>
      </w:r>
    </w:p>
    <w:p w14:paraId="6465E898"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Rédaction de divers actes administratifs (arrêtés, délibérations, règlements, conventions…)</w:t>
      </w:r>
    </w:p>
    <w:p w14:paraId="3498F9D8" w14:textId="77777777" w:rsidR="00946429" w:rsidRPr="00483D1A" w:rsidRDefault="00946429" w:rsidP="00946429">
      <w:pPr>
        <w:pStyle w:val="Paragraphedeliste"/>
        <w:numPr>
          <w:ilvl w:val="0"/>
          <w:numId w:val="19"/>
        </w:numPr>
        <w:spacing w:after="0" w:line="240" w:lineRule="auto"/>
        <w:ind w:right="-2"/>
        <w:jc w:val="both"/>
        <w:rPr>
          <w:rFonts w:ascii="Lato" w:hAnsi="Lato" w:cs="Calibri"/>
        </w:rPr>
      </w:pPr>
      <w:r w:rsidRPr="00946429">
        <w:rPr>
          <w:rFonts w:ascii="Lato" w:hAnsi="Lato" w:cs="Calibri"/>
          <w:sz w:val="20"/>
          <w:szCs w:val="20"/>
        </w:rPr>
        <w:t>Elaboration, contrôle et suivi budgétaire d’un service</w:t>
      </w:r>
    </w:p>
    <w:p w14:paraId="72DCEB22" w14:textId="77777777" w:rsidR="00202D5E" w:rsidRPr="0079025C" w:rsidRDefault="00202D5E" w:rsidP="00202D5E">
      <w:pPr>
        <w:spacing w:after="0" w:line="240" w:lineRule="auto"/>
        <w:ind w:right="-2"/>
        <w:jc w:val="both"/>
        <w:rPr>
          <w:rFonts w:ascii="Lato" w:hAnsi="Lato"/>
          <w:sz w:val="20"/>
          <w:szCs w:val="20"/>
        </w:rPr>
      </w:pPr>
    </w:p>
    <w:p w14:paraId="20357E00" w14:textId="77777777" w:rsidR="00202D5E" w:rsidRPr="0079025C" w:rsidRDefault="00250C3E" w:rsidP="00202D5E">
      <w:pPr>
        <w:shd w:val="clear" w:color="auto" w:fill="D9D9D9" w:themeFill="background1" w:themeFillShade="D9"/>
        <w:spacing w:after="0" w:line="240" w:lineRule="auto"/>
        <w:ind w:right="-2"/>
        <w:jc w:val="both"/>
        <w:rPr>
          <w:rFonts w:ascii="Lato" w:hAnsi="Lato"/>
          <w:b/>
        </w:rPr>
      </w:pPr>
      <w:r w:rsidRPr="0079025C">
        <w:rPr>
          <w:rFonts w:ascii="Lato" w:hAnsi="Lato"/>
          <w:b/>
        </w:rPr>
        <w:t>SAVOIR-Ê</w:t>
      </w:r>
      <w:r w:rsidR="006B02A1" w:rsidRPr="0079025C">
        <w:rPr>
          <w:rFonts w:ascii="Lato" w:hAnsi="Lato"/>
          <w:b/>
        </w:rPr>
        <w:t>TRE</w:t>
      </w:r>
    </w:p>
    <w:p w14:paraId="3F2F8936" w14:textId="77777777" w:rsidR="00202D5E" w:rsidRPr="00946429" w:rsidRDefault="00202D5E" w:rsidP="00202D5E">
      <w:pPr>
        <w:spacing w:after="0" w:line="240" w:lineRule="auto"/>
        <w:ind w:right="-2"/>
        <w:jc w:val="both"/>
        <w:rPr>
          <w:rFonts w:ascii="Lato" w:hAnsi="Lato"/>
          <w:sz w:val="16"/>
          <w:szCs w:val="16"/>
        </w:rPr>
      </w:pPr>
    </w:p>
    <w:p w14:paraId="34610BC3"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Rigueur et sens de l’organisation</w:t>
      </w:r>
    </w:p>
    <w:p w14:paraId="0A0CF8BB"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Bon relationnel et capacité d’écoute</w:t>
      </w:r>
    </w:p>
    <w:p w14:paraId="2EAEDCF3"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Polyvalence</w:t>
      </w:r>
    </w:p>
    <w:p w14:paraId="055F26E7"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Aptitude à rendre compte</w:t>
      </w:r>
    </w:p>
    <w:p w14:paraId="2E64307B" w14:textId="77777777" w:rsidR="00946429" w:rsidRPr="00946429" w:rsidRDefault="00946429" w:rsidP="00946429">
      <w:pPr>
        <w:pStyle w:val="Paragraphedeliste"/>
        <w:numPr>
          <w:ilvl w:val="0"/>
          <w:numId w:val="19"/>
        </w:numPr>
        <w:spacing w:after="0" w:line="240" w:lineRule="auto"/>
        <w:ind w:right="-2"/>
        <w:jc w:val="both"/>
        <w:rPr>
          <w:rFonts w:ascii="Lato" w:hAnsi="Lato" w:cs="Calibri"/>
          <w:sz w:val="20"/>
          <w:szCs w:val="20"/>
        </w:rPr>
      </w:pPr>
      <w:r w:rsidRPr="00946429">
        <w:rPr>
          <w:rFonts w:ascii="Lato" w:hAnsi="Lato" w:cs="Calibri"/>
          <w:sz w:val="20"/>
          <w:szCs w:val="20"/>
        </w:rPr>
        <w:t>Discrétion</w:t>
      </w:r>
    </w:p>
    <w:p w14:paraId="54A499E0" w14:textId="77777777" w:rsidR="00946429" w:rsidRPr="00946429" w:rsidRDefault="00946429" w:rsidP="00946429">
      <w:pPr>
        <w:pStyle w:val="Paragraphedeliste"/>
        <w:numPr>
          <w:ilvl w:val="0"/>
          <w:numId w:val="19"/>
        </w:numPr>
        <w:spacing w:after="0" w:line="240" w:lineRule="auto"/>
        <w:ind w:right="-2"/>
        <w:jc w:val="both"/>
        <w:rPr>
          <w:rFonts w:ascii="Lato" w:hAnsi="Lato" w:cs="Calibri"/>
          <w:b/>
          <w:bCs/>
          <w:sz w:val="20"/>
          <w:szCs w:val="20"/>
        </w:rPr>
      </w:pPr>
      <w:r w:rsidRPr="00946429">
        <w:rPr>
          <w:rFonts w:ascii="Lato" w:hAnsi="Lato" w:cs="Calibri"/>
          <w:sz w:val="20"/>
          <w:szCs w:val="20"/>
        </w:rPr>
        <w:t>Disponibilité</w:t>
      </w:r>
    </w:p>
    <w:p w14:paraId="06785E76" w14:textId="77777777" w:rsidR="00202D5E" w:rsidRPr="0079025C" w:rsidRDefault="00202D5E" w:rsidP="00202D5E">
      <w:pPr>
        <w:spacing w:after="0" w:line="240" w:lineRule="auto"/>
        <w:ind w:right="-2"/>
        <w:jc w:val="both"/>
        <w:rPr>
          <w:rFonts w:ascii="Lato" w:hAnsi="Lato"/>
          <w:sz w:val="20"/>
          <w:szCs w:val="20"/>
        </w:rPr>
      </w:pPr>
    </w:p>
    <w:p w14:paraId="471A8B0B" w14:textId="2D0808B1" w:rsidR="00EF3F35" w:rsidRPr="0079025C" w:rsidRDefault="00EF3F35" w:rsidP="00EF3F35">
      <w:pPr>
        <w:shd w:val="clear" w:color="auto" w:fill="D9D9D9" w:themeFill="background1" w:themeFillShade="D9"/>
        <w:spacing w:after="0" w:line="240" w:lineRule="auto"/>
        <w:ind w:right="-2"/>
        <w:jc w:val="both"/>
        <w:rPr>
          <w:rFonts w:ascii="Lato" w:hAnsi="Lato"/>
          <w:b/>
        </w:rPr>
      </w:pPr>
      <w:r>
        <w:rPr>
          <w:rFonts w:ascii="Lato" w:hAnsi="Lato"/>
          <w:b/>
        </w:rPr>
        <w:t>POSTE</w:t>
      </w:r>
    </w:p>
    <w:p w14:paraId="2ABF5750" w14:textId="77777777" w:rsidR="00154D86" w:rsidRPr="0079025C" w:rsidRDefault="00154D86" w:rsidP="001F57B0">
      <w:pPr>
        <w:spacing w:after="0" w:line="240" w:lineRule="auto"/>
        <w:ind w:right="-2"/>
        <w:jc w:val="both"/>
        <w:rPr>
          <w:rFonts w:ascii="Lato" w:hAnsi="Lato"/>
          <w:sz w:val="20"/>
          <w:szCs w:val="20"/>
        </w:rPr>
      </w:pPr>
    </w:p>
    <w:p w14:paraId="31954EF2" w14:textId="29B87982" w:rsidR="00A5284E" w:rsidRDefault="00A5284E" w:rsidP="00A5284E">
      <w:pPr>
        <w:pStyle w:val="Paragraphedeliste"/>
        <w:numPr>
          <w:ilvl w:val="0"/>
          <w:numId w:val="17"/>
        </w:numPr>
        <w:spacing w:after="0"/>
        <w:rPr>
          <w:rFonts w:ascii="Lato" w:hAnsi="Lato"/>
          <w:sz w:val="20"/>
          <w:szCs w:val="20"/>
        </w:rPr>
      </w:pPr>
      <w:r w:rsidRPr="00A5284E">
        <w:rPr>
          <w:rFonts w:ascii="Lato" w:hAnsi="Lato"/>
          <w:sz w:val="20"/>
          <w:szCs w:val="20"/>
        </w:rPr>
        <w:t>Temps de travail : temps complet</w:t>
      </w:r>
      <w:r w:rsidR="00F64CE9">
        <w:rPr>
          <w:rFonts w:ascii="Lato" w:hAnsi="Lato"/>
          <w:sz w:val="20"/>
          <w:szCs w:val="20"/>
        </w:rPr>
        <w:t xml:space="preserve"> – cycle de 39 heures hebdomadaires</w:t>
      </w:r>
      <w:r w:rsidR="00946429">
        <w:rPr>
          <w:rFonts w:ascii="Lato" w:hAnsi="Lato"/>
          <w:sz w:val="20"/>
          <w:szCs w:val="20"/>
        </w:rPr>
        <w:t>.</w:t>
      </w:r>
    </w:p>
    <w:p w14:paraId="251A3982" w14:textId="5D266AD4" w:rsidR="00946429" w:rsidRPr="00A5284E" w:rsidRDefault="00946429" w:rsidP="00A5284E">
      <w:pPr>
        <w:pStyle w:val="Paragraphedeliste"/>
        <w:numPr>
          <w:ilvl w:val="0"/>
          <w:numId w:val="17"/>
        </w:numPr>
        <w:spacing w:after="0"/>
        <w:rPr>
          <w:rFonts w:ascii="Lato" w:hAnsi="Lato"/>
          <w:sz w:val="20"/>
          <w:szCs w:val="20"/>
        </w:rPr>
      </w:pPr>
      <w:r>
        <w:rPr>
          <w:rFonts w:ascii="Lato" w:hAnsi="Lato"/>
          <w:sz w:val="20"/>
          <w:szCs w:val="20"/>
        </w:rPr>
        <w:t xml:space="preserve">Permis B obligatoire. </w:t>
      </w:r>
    </w:p>
    <w:p w14:paraId="480265E4" w14:textId="18C88EDF" w:rsidR="00A5284E" w:rsidRPr="00A5284E" w:rsidRDefault="00A5284E" w:rsidP="00A5284E">
      <w:pPr>
        <w:pStyle w:val="Paragraphedeliste"/>
        <w:numPr>
          <w:ilvl w:val="0"/>
          <w:numId w:val="17"/>
        </w:numPr>
        <w:spacing w:after="0"/>
        <w:rPr>
          <w:rFonts w:ascii="Lato" w:hAnsi="Lato"/>
          <w:sz w:val="20"/>
          <w:szCs w:val="20"/>
        </w:rPr>
      </w:pPr>
      <w:r w:rsidRPr="00A5284E">
        <w:rPr>
          <w:rFonts w:ascii="Lato" w:hAnsi="Lato"/>
          <w:sz w:val="20"/>
          <w:szCs w:val="20"/>
        </w:rPr>
        <w:t xml:space="preserve">Traitement indiciaire + régime indemnitaire + </w:t>
      </w:r>
      <w:r w:rsidR="00946429">
        <w:rPr>
          <w:rFonts w:ascii="Lato" w:hAnsi="Lato"/>
          <w:sz w:val="20"/>
          <w:szCs w:val="20"/>
        </w:rPr>
        <w:t xml:space="preserve">prime annuelle + </w:t>
      </w:r>
      <w:r w:rsidRPr="00A5284E">
        <w:rPr>
          <w:rFonts w:ascii="Lato" w:hAnsi="Lato"/>
          <w:sz w:val="20"/>
          <w:szCs w:val="20"/>
        </w:rPr>
        <w:t>chèques déjeuner + COS44</w:t>
      </w:r>
    </w:p>
    <w:p w14:paraId="1F0BBCB6" w14:textId="7D1B0B6C" w:rsidR="00A5284E" w:rsidRDefault="00A5284E" w:rsidP="00A5284E">
      <w:pPr>
        <w:pStyle w:val="Paragraphedeliste"/>
        <w:numPr>
          <w:ilvl w:val="0"/>
          <w:numId w:val="17"/>
        </w:numPr>
        <w:spacing w:after="0"/>
        <w:rPr>
          <w:rFonts w:ascii="Lato" w:hAnsi="Lato"/>
          <w:sz w:val="20"/>
          <w:szCs w:val="20"/>
        </w:rPr>
      </w:pPr>
      <w:r w:rsidRPr="00A5284E">
        <w:rPr>
          <w:rFonts w:ascii="Lato" w:hAnsi="Lato"/>
          <w:sz w:val="20"/>
          <w:szCs w:val="20"/>
        </w:rPr>
        <w:t xml:space="preserve">CV + lettre de motivation à adresser sur l’adresse </w:t>
      </w:r>
      <w:hyperlink r:id="rId7" w:history="1">
        <w:r w:rsidRPr="00B0611C">
          <w:rPr>
            <w:rStyle w:val="Lienhypertexte"/>
            <w:rFonts w:ascii="Lato" w:hAnsi="Lato"/>
            <w:sz w:val="20"/>
            <w:szCs w:val="20"/>
          </w:rPr>
          <w:t>recrutement@mairie-clisson.fr</w:t>
        </w:r>
      </w:hyperlink>
    </w:p>
    <w:p w14:paraId="205366A3" w14:textId="77777777" w:rsidR="00A5284E" w:rsidRPr="00A5284E" w:rsidRDefault="00A5284E" w:rsidP="00A5284E">
      <w:pPr>
        <w:spacing w:after="0"/>
        <w:rPr>
          <w:rFonts w:ascii="Lato" w:hAnsi="Lato"/>
          <w:b/>
          <w:bCs/>
          <w:sz w:val="20"/>
          <w:szCs w:val="20"/>
        </w:rPr>
      </w:pPr>
    </w:p>
    <w:p w14:paraId="3A9550DC" w14:textId="38834118" w:rsidR="00A5284E" w:rsidRPr="00A5284E" w:rsidRDefault="00A5284E" w:rsidP="00A5284E">
      <w:pPr>
        <w:spacing w:after="0"/>
        <w:rPr>
          <w:rFonts w:ascii="Lato" w:hAnsi="Lato"/>
          <w:b/>
          <w:bCs/>
          <w:sz w:val="20"/>
          <w:szCs w:val="20"/>
        </w:rPr>
      </w:pPr>
      <w:r w:rsidRPr="00A5284E">
        <w:rPr>
          <w:rFonts w:ascii="Lato" w:hAnsi="Lato"/>
          <w:b/>
          <w:bCs/>
          <w:sz w:val="20"/>
          <w:szCs w:val="20"/>
        </w:rPr>
        <w:t xml:space="preserve">Date limite de dépôt des candidatures : </w:t>
      </w:r>
      <w:r w:rsidR="00946429">
        <w:rPr>
          <w:rFonts w:ascii="Lato" w:hAnsi="Lato"/>
          <w:b/>
          <w:bCs/>
          <w:sz w:val="20"/>
          <w:szCs w:val="20"/>
        </w:rPr>
        <w:t>lundi 20</w:t>
      </w:r>
      <w:r w:rsidR="00F64CE9">
        <w:rPr>
          <w:rFonts w:ascii="Lato" w:hAnsi="Lato"/>
          <w:b/>
          <w:bCs/>
          <w:sz w:val="20"/>
          <w:szCs w:val="20"/>
        </w:rPr>
        <w:t xml:space="preserve"> février</w:t>
      </w:r>
      <w:r w:rsidRPr="00A23C83">
        <w:rPr>
          <w:rFonts w:ascii="Lato" w:hAnsi="Lato"/>
          <w:b/>
          <w:bCs/>
          <w:sz w:val="20"/>
          <w:szCs w:val="20"/>
        </w:rPr>
        <w:t xml:space="preserve"> 202</w:t>
      </w:r>
      <w:r w:rsidR="00F64CE9">
        <w:rPr>
          <w:rFonts w:ascii="Lato" w:hAnsi="Lato"/>
          <w:b/>
          <w:bCs/>
          <w:sz w:val="20"/>
          <w:szCs w:val="20"/>
        </w:rPr>
        <w:t>3</w:t>
      </w:r>
      <w:r w:rsidRPr="00A23C83">
        <w:rPr>
          <w:rFonts w:ascii="Lato" w:hAnsi="Lato"/>
          <w:b/>
          <w:bCs/>
          <w:sz w:val="20"/>
          <w:szCs w:val="20"/>
        </w:rPr>
        <w:t xml:space="preserve"> </w:t>
      </w:r>
      <w:r w:rsidRPr="00A5284E">
        <w:rPr>
          <w:rFonts w:ascii="Lato" w:hAnsi="Lato"/>
          <w:b/>
          <w:bCs/>
          <w:sz w:val="20"/>
          <w:szCs w:val="20"/>
        </w:rPr>
        <w:t>à 9h.</w:t>
      </w:r>
    </w:p>
    <w:p w14:paraId="0D4BD301" w14:textId="47FB5B55" w:rsidR="00A5284E" w:rsidRPr="00A5284E" w:rsidRDefault="00A5284E" w:rsidP="00A5284E">
      <w:pPr>
        <w:spacing w:after="0"/>
        <w:rPr>
          <w:rFonts w:ascii="Lato" w:hAnsi="Lato"/>
          <w:b/>
          <w:bCs/>
          <w:sz w:val="20"/>
          <w:szCs w:val="20"/>
        </w:rPr>
      </w:pPr>
      <w:r w:rsidRPr="00A5284E">
        <w:rPr>
          <w:rFonts w:ascii="Lato" w:hAnsi="Lato"/>
          <w:b/>
          <w:bCs/>
          <w:sz w:val="20"/>
          <w:szCs w:val="20"/>
        </w:rPr>
        <w:t xml:space="preserve">Poste à pourvoir </w:t>
      </w:r>
      <w:r w:rsidR="00946429">
        <w:rPr>
          <w:rFonts w:ascii="Lato" w:hAnsi="Lato"/>
          <w:b/>
          <w:bCs/>
          <w:sz w:val="20"/>
          <w:szCs w:val="20"/>
        </w:rPr>
        <w:t>le 1</w:t>
      </w:r>
      <w:r w:rsidR="00946429" w:rsidRPr="00946429">
        <w:rPr>
          <w:rFonts w:ascii="Lato" w:hAnsi="Lato"/>
          <w:b/>
          <w:bCs/>
          <w:sz w:val="20"/>
          <w:szCs w:val="20"/>
          <w:vertAlign w:val="superscript"/>
        </w:rPr>
        <w:t>er</w:t>
      </w:r>
      <w:r w:rsidR="00F64CE9">
        <w:rPr>
          <w:rFonts w:ascii="Lato" w:hAnsi="Lato"/>
          <w:b/>
          <w:bCs/>
          <w:sz w:val="20"/>
          <w:szCs w:val="20"/>
        </w:rPr>
        <w:t xml:space="preserve"> mars 2023</w:t>
      </w:r>
      <w:r w:rsidRPr="00A5284E">
        <w:rPr>
          <w:rFonts w:ascii="Lato" w:hAnsi="Lato"/>
          <w:b/>
          <w:bCs/>
          <w:sz w:val="20"/>
          <w:szCs w:val="20"/>
        </w:rPr>
        <w:t>.</w:t>
      </w:r>
    </w:p>
    <w:p w14:paraId="1C0E55ED" w14:textId="77777777" w:rsidR="00A5284E" w:rsidRDefault="00A5284E" w:rsidP="00A5284E">
      <w:pPr>
        <w:spacing w:after="0"/>
        <w:rPr>
          <w:rFonts w:ascii="Lato" w:hAnsi="Lato"/>
          <w:sz w:val="20"/>
          <w:szCs w:val="20"/>
        </w:rPr>
      </w:pPr>
    </w:p>
    <w:p w14:paraId="30EA80FD" w14:textId="023A9261" w:rsidR="00A5284E" w:rsidRPr="00A5284E" w:rsidRDefault="00A5284E" w:rsidP="00A5284E">
      <w:pPr>
        <w:spacing w:after="0"/>
        <w:rPr>
          <w:rFonts w:ascii="Lato" w:hAnsi="Lato"/>
          <w:sz w:val="20"/>
          <w:szCs w:val="20"/>
        </w:rPr>
      </w:pPr>
      <w:r w:rsidRPr="00A5284E">
        <w:rPr>
          <w:rFonts w:ascii="Lato" w:hAnsi="Lato"/>
          <w:sz w:val="20"/>
          <w:szCs w:val="20"/>
        </w:rPr>
        <w:t xml:space="preserve">Contact pour tout renseignement complémentaire : </w:t>
      </w:r>
    </w:p>
    <w:p w14:paraId="2F634985" w14:textId="55944905" w:rsidR="00A5284E" w:rsidRPr="00A5284E" w:rsidRDefault="00946429" w:rsidP="00A5284E">
      <w:pPr>
        <w:spacing w:after="0"/>
        <w:rPr>
          <w:rFonts w:ascii="Lato" w:hAnsi="Lato"/>
          <w:sz w:val="20"/>
          <w:szCs w:val="20"/>
        </w:rPr>
      </w:pPr>
      <w:r>
        <w:rPr>
          <w:rFonts w:ascii="Lato" w:hAnsi="Lato"/>
          <w:sz w:val="20"/>
          <w:szCs w:val="20"/>
        </w:rPr>
        <w:t>Amandine Le Borgne</w:t>
      </w:r>
      <w:r w:rsidR="00A5284E" w:rsidRPr="00A5284E">
        <w:rPr>
          <w:rFonts w:ascii="Lato" w:hAnsi="Lato"/>
          <w:sz w:val="20"/>
          <w:szCs w:val="20"/>
        </w:rPr>
        <w:t xml:space="preserve">, </w:t>
      </w:r>
      <w:r>
        <w:rPr>
          <w:rFonts w:ascii="Lato" w:hAnsi="Lato"/>
          <w:sz w:val="20"/>
          <w:szCs w:val="20"/>
        </w:rPr>
        <w:t>DGA « moyens généraux »</w:t>
      </w:r>
    </w:p>
    <w:p w14:paraId="0F084478" w14:textId="35EF3A65" w:rsidR="00A5284E" w:rsidRPr="00A5284E" w:rsidRDefault="00A5284E" w:rsidP="00A5284E">
      <w:pPr>
        <w:spacing w:after="0"/>
        <w:rPr>
          <w:rFonts w:ascii="Lato" w:hAnsi="Lato"/>
          <w:sz w:val="20"/>
          <w:szCs w:val="20"/>
        </w:rPr>
      </w:pPr>
      <w:r w:rsidRPr="00A5284E">
        <w:rPr>
          <w:rFonts w:ascii="Lato" w:hAnsi="Lato"/>
          <w:sz w:val="20"/>
          <w:szCs w:val="20"/>
        </w:rPr>
        <w:t xml:space="preserve">02 40 80 17 </w:t>
      </w:r>
      <w:r w:rsidR="00946429">
        <w:rPr>
          <w:rFonts w:ascii="Lato" w:hAnsi="Lato"/>
          <w:sz w:val="20"/>
          <w:szCs w:val="20"/>
        </w:rPr>
        <w:t>80</w:t>
      </w:r>
    </w:p>
    <w:p w14:paraId="5BEBC511" w14:textId="77777777" w:rsidR="00154D86" w:rsidRPr="0079025C" w:rsidRDefault="00154D86" w:rsidP="001F57B0">
      <w:pPr>
        <w:spacing w:after="0" w:line="240" w:lineRule="auto"/>
        <w:ind w:right="-2"/>
        <w:jc w:val="both"/>
        <w:rPr>
          <w:rFonts w:ascii="Lato" w:hAnsi="Lato"/>
          <w:sz w:val="20"/>
          <w:szCs w:val="20"/>
        </w:rPr>
      </w:pPr>
    </w:p>
    <w:p w14:paraId="7EF40E77" w14:textId="77777777" w:rsidR="00282611" w:rsidRPr="00CF3179" w:rsidRDefault="00282611" w:rsidP="001F57B0">
      <w:pPr>
        <w:spacing w:after="0" w:line="240" w:lineRule="auto"/>
        <w:ind w:right="-2"/>
        <w:jc w:val="both"/>
        <w:rPr>
          <w:sz w:val="20"/>
          <w:szCs w:val="20"/>
        </w:rPr>
      </w:pPr>
    </w:p>
    <w:sectPr w:rsidR="00282611" w:rsidRPr="00CF3179" w:rsidSect="001B309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93B"/>
    <w:multiLevelType w:val="multilevel"/>
    <w:tmpl w:val="29E80D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4F4FA2"/>
    <w:multiLevelType w:val="hybridMultilevel"/>
    <w:tmpl w:val="EC44A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52983"/>
    <w:multiLevelType w:val="hybridMultilevel"/>
    <w:tmpl w:val="9404EC7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0EF6649"/>
    <w:multiLevelType w:val="hybridMultilevel"/>
    <w:tmpl w:val="DBFCED9A"/>
    <w:lvl w:ilvl="0" w:tplc="2E7A77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63AE3"/>
    <w:multiLevelType w:val="hybridMultilevel"/>
    <w:tmpl w:val="A21C7C38"/>
    <w:lvl w:ilvl="0" w:tplc="2E7A77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F44E5"/>
    <w:multiLevelType w:val="hybridMultilevel"/>
    <w:tmpl w:val="C478B90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9A404A"/>
    <w:multiLevelType w:val="hybridMultilevel"/>
    <w:tmpl w:val="460E080C"/>
    <w:lvl w:ilvl="0" w:tplc="2E7A77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86BEA"/>
    <w:multiLevelType w:val="hybridMultilevel"/>
    <w:tmpl w:val="73A4CF36"/>
    <w:lvl w:ilvl="0" w:tplc="B128FE7E">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90C6B72"/>
    <w:multiLevelType w:val="hybridMultilevel"/>
    <w:tmpl w:val="75C221E2"/>
    <w:lvl w:ilvl="0" w:tplc="4C3C032E">
      <w:numFmt w:val="bullet"/>
      <w:lvlText w:val="-"/>
      <w:lvlJc w:val="left"/>
      <w:pPr>
        <w:ind w:left="720" w:hanging="360"/>
      </w:pPr>
      <w:rPr>
        <w:rFonts w:ascii="Lato" w:eastAsiaTheme="minorHAnsi" w:hAnsi="Lato"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4826A6"/>
    <w:multiLevelType w:val="hybridMultilevel"/>
    <w:tmpl w:val="8E2A4E8A"/>
    <w:lvl w:ilvl="0" w:tplc="CAE08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0B0480"/>
    <w:multiLevelType w:val="hybridMultilevel"/>
    <w:tmpl w:val="7412575A"/>
    <w:lvl w:ilvl="0" w:tplc="182EF764">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C2040"/>
    <w:multiLevelType w:val="hybridMultilevel"/>
    <w:tmpl w:val="B64C3A2E"/>
    <w:lvl w:ilvl="0" w:tplc="E2B0351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D465E7B"/>
    <w:multiLevelType w:val="hybridMultilevel"/>
    <w:tmpl w:val="AFA011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410A50D5"/>
    <w:multiLevelType w:val="hybridMultilevel"/>
    <w:tmpl w:val="DF707BD8"/>
    <w:lvl w:ilvl="0" w:tplc="B128FE7E">
      <w:numFmt w:val="bullet"/>
      <w:lvlText w:val="-"/>
      <w:lvlJc w:val="left"/>
      <w:pPr>
        <w:ind w:left="1506" w:hanging="360"/>
      </w:pPr>
      <w:rPr>
        <w:rFonts w:ascii="Calibri" w:eastAsiaTheme="minorHAnsi" w:hAnsi="Calibri" w:cstheme="minorBidi"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4" w15:restartNumberingAfterBreak="0">
    <w:nsid w:val="49EC3470"/>
    <w:multiLevelType w:val="hybridMultilevel"/>
    <w:tmpl w:val="41A23532"/>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0D12FC"/>
    <w:multiLevelType w:val="hybridMultilevel"/>
    <w:tmpl w:val="27347FCE"/>
    <w:lvl w:ilvl="0" w:tplc="0C94F2CC">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6" w15:restartNumberingAfterBreak="0">
    <w:nsid w:val="4CAD4D23"/>
    <w:multiLevelType w:val="hybridMultilevel"/>
    <w:tmpl w:val="192E4A4A"/>
    <w:lvl w:ilvl="0" w:tplc="4E3E2C1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60B0D80"/>
    <w:multiLevelType w:val="hybridMultilevel"/>
    <w:tmpl w:val="2332A2B4"/>
    <w:lvl w:ilvl="0" w:tplc="0D12B43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3F052D"/>
    <w:multiLevelType w:val="hybridMultilevel"/>
    <w:tmpl w:val="43DA67C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774E4A80"/>
    <w:multiLevelType w:val="hybridMultilevel"/>
    <w:tmpl w:val="C010D4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7DD066C2"/>
    <w:multiLevelType w:val="hybridMultilevel"/>
    <w:tmpl w:val="761EE400"/>
    <w:lvl w:ilvl="0" w:tplc="01069046">
      <w:numFmt w:val="bullet"/>
      <w:lvlText w:val="-"/>
      <w:lvlJc w:val="left"/>
      <w:pPr>
        <w:ind w:left="720" w:hanging="360"/>
      </w:pPr>
      <w:rPr>
        <w:rFonts w:ascii="Lato" w:eastAsiaTheme="minorHAnsi" w:hAnsi="La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9440319">
    <w:abstractNumId w:val="3"/>
  </w:num>
  <w:num w:numId="2" w16cid:durableId="527370838">
    <w:abstractNumId w:val="4"/>
  </w:num>
  <w:num w:numId="3" w16cid:durableId="1812552019">
    <w:abstractNumId w:val="1"/>
  </w:num>
  <w:num w:numId="4" w16cid:durableId="1909337083">
    <w:abstractNumId w:val="11"/>
  </w:num>
  <w:num w:numId="5" w16cid:durableId="333262571">
    <w:abstractNumId w:val="9"/>
  </w:num>
  <w:num w:numId="6" w16cid:durableId="1586916575">
    <w:abstractNumId w:val="2"/>
  </w:num>
  <w:num w:numId="7" w16cid:durableId="544370132">
    <w:abstractNumId w:val="12"/>
  </w:num>
  <w:num w:numId="8" w16cid:durableId="1765959730">
    <w:abstractNumId w:val="16"/>
  </w:num>
  <w:num w:numId="9" w16cid:durableId="2087456348">
    <w:abstractNumId w:val="0"/>
  </w:num>
  <w:num w:numId="10" w16cid:durableId="451024207">
    <w:abstractNumId w:val="18"/>
  </w:num>
  <w:num w:numId="11" w16cid:durableId="1745372918">
    <w:abstractNumId w:val="19"/>
  </w:num>
  <w:num w:numId="12" w16cid:durableId="1521551898">
    <w:abstractNumId w:val="13"/>
  </w:num>
  <w:num w:numId="13" w16cid:durableId="872958510">
    <w:abstractNumId w:val="14"/>
  </w:num>
  <w:num w:numId="14" w16cid:durableId="1412891927">
    <w:abstractNumId w:val="7"/>
  </w:num>
  <w:num w:numId="15" w16cid:durableId="359163057">
    <w:abstractNumId w:val="10"/>
  </w:num>
  <w:num w:numId="16" w16cid:durableId="1048146179">
    <w:abstractNumId w:val="15"/>
  </w:num>
  <w:num w:numId="17" w16cid:durableId="204759371">
    <w:abstractNumId w:val="17"/>
  </w:num>
  <w:num w:numId="18" w16cid:durableId="1523322094">
    <w:abstractNumId w:val="8"/>
  </w:num>
  <w:num w:numId="19" w16cid:durableId="351226718">
    <w:abstractNumId w:val="5"/>
  </w:num>
  <w:num w:numId="20" w16cid:durableId="1594702175">
    <w:abstractNumId w:val="6"/>
  </w:num>
  <w:num w:numId="21" w16cid:durableId="1509460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4"/>
    <w:rsid w:val="00001390"/>
    <w:rsid w:val="000120D5"/>
    <w:rsid w:val="00012A6B"/>
    <w:rsid w:val="000150C0"/>
    <w:rsid w:val="000350CD"/>
    <w:rsid w:val="000A1728"/>
    <w:rsid w:val="000A7FE9"/>
    <w:rsid w:val="000C4E91"/>
    <w:rsid w:val="000C7697"/>
    <w:rsid w:val="00114B68"/>
    <w:rsid w:val="00125C2B"/>
    <w:rsid w:val="00146FEC"/>
    <w:rsid w:val="00153FD1"/>
    <w:rsid w:val="00154D86"/>
    <w:rsid w:val="00177BC2"/>
    <w:rsid w:val="001B3095"/>
    <w:rsid w:val="001D0778"/>
    <w:rsid w:val="001E4B89"/>
    <w:rsid w:val="001E65C8"/>
    <w:rsid w:val="001F57B0"/>
    <w:rsid w:val="002005C9"/>
    <w:rsid w:val="00202D5E"/>
    <w:rsid w:val="00216978"/>
    <w:rsid w:val="00217268"/>
    <w:rsid w:val="00250C3E"/>
    <w:rsid w:val="002639A7"/>
    <w:rsid w:val="00265220"/>
    <w:rsid w:val="002807E1"/>
    <w:rsid w:val="00282611"/>
    <w:rsid w:val="002B3D94"/>
    <w:rsid w:val="002C2A90"/>
    <w:rsid w:val="002D626A"/>
    <w:rsid w:val="002D7B64"/>
    <w:rsid w:val="002F3AA9"/>
    <w:rsid w:val="002F5587"/>
    <w:rsid w:val="003033E6"/>
    <w:rsid w:val="003320FB"/>
    <w:rsid w:val="00333F4B"/>
    <w:rsid w:val="003553D5"/>
    <w:rsid w:val="00355861"/>
    <w:rsid w:val="00363916"/>
    <w:rsid w:val="00366A1D"/>
    <w:rsid w:val="00395251"/>
    <w:rsid w:val="00397D63"/>
    <w:rsid w:val="003A0065"/>
    <w:rsid w:val="003A03F4"/>
    <w:rsid w:val="003A462F"/>
    <w:rsid w:val="003A655C"/>
    <w:rsid w:val="003A703B"/>
    <w:rsid w:val="003B260C"/>
    <w:rsid w:val="003B30E4"/>
    <w:rsid w:val="003C5F9A"/>
    <w:rsid w:val="003D10F8"/>
    <w:rsid w:val="003E30B4"/>
    <w:rsid w:val="003E7D91"/>
    <w:rsid w:val="00445342"/>
    <w:rsid w:val="00447353"/>
    <w:rsid w:val="00461239"/>
    <w:rsid w:val="00485896"/>
    <w:rsid w:val="004A49F2"/>
    <w:rsid w:val="004A723C"/>
    <w:rsid w:val="004B4F35"/>
    <w:rsid w:val="004C2985"/>
    <w:rsid w:val="004D6BD2"/>
    <w:rsid w:val="004F1D3B"/>
    <w:rsid w:val="005135A9"/>
    <w:rsid w:val="00525196"/>
    <w:rsid w:val="005255C0"/>
    <w:rsid w:val="00525F5F"/>
    <w:rsid w:val="005507ED"/>
    <w:rsid w:val="00583064"/>
    <w:rsid w:val="00593A9D"/>
    <w:rsid w:val="005B4598"/>
    <w:rsid w:val="005C30AB"/>
    <w:rsid w:val="005E0DA2"/>
    <w:rsid w:val="00601CD6"/>
    <w:rsid w:val="00610639"/>
    <w:rsid w:val="006261BB"/>
    <w:rsid w:val="00654C58"/>
    <w:rsid w:val="0066314E"/>
    <w:rsid w:val="00664F63"/>
    <w:rsid w:val="006650EC"/>
    <w:rsid w:val="0066543F"/>
    <w:rsid w:val="00665F1F"/>
    <w:rsid w:val="00671B48"/>
    <w:rsid w:val="006A1368"/>
    <w:rsid w:val="006B02A1"/>
    <w:rsid w:val="006D1712"/>
    <w:rsid w:val="006D5061"/>
    <w:rsid w:val="006F12E0"/>
    <w:rsid w:val="006F2829"/>
    <w:rsid w:val="006F63C3"/>
    <w:rsid w:val="00722A82"/>
    <w:rsid w:val="00725F16"/>
    <w:rsid w:val="00741230"/>
    <w:rsid w:val="00743DAB"/>
    <w:rsid w:val="00772E6C"/>
    <w:rsid w:val="007770C4"/>
    <w:rsid w:val="0079025C"/>
    <w:rsid w:val="007925C6"/>
    <w:rsid w:val="007B1F10"/>
    <w:rsid w:val="007C1147"/>
    <w:rsid w:val="007C38F0"/>
    <w:rsid w:val="007D2C78"/>
    <w:rsid w:val="007E3805"/>
    <w:rsid w:val="007E4F2B"/>
    <w:rsid w:val="007E62D1"/>
    <w:rsid w:val="00804625"/>
    <w:rsid w:val="00815213"/>
    <w:rsid w:val="00843CDD"/>
    <w:rsid w:val="0085516B"/>
    <w:rsid w:val="00865140"/>
    <w:rsid w:val="00871EF0"/>
    <w:rsid w:val="0087275D"/>
    <w:rsid w:val="00874411"/>
    <w:rsid w:val="008A0A98"/>
    <w:rsid w:val="008A1259"/>
    <w:rsid w:val="008B2472"/>
    <w:rsid w:val="008C0720"/>
    <w:rsid w:val="008D28E8"/>
    <w:rsid w:val="008D7D74"/>
    <w:rsid w:val="008F236B"/>
    <w:rsid w:val="0090782A"/>
    <w:rsid w:val="0091359C"/>
    <w:rsid w:val="00946429"/>
    <w:rsid w:val="00957079"/>
    <w:rsid w:val="00973CB7"/>
    <w:rsid w:val="0098507C"/>
    <w:rsid w:val="009B4915"/>
    <w:rsid w:val="009D4BE0"/>
    <w:rsid w:val="009D7CAF"/>
    <w:rsid w:val="009E49D3"/>
    <w:rsid w:val="009E4C80"/>
    <w:rsid w:val="009E5E47"/>
    <w:rsid w:val="009E7021"/>
    <w:rsid w:val="009F5554"/>
    <w:rsid w:val="00A042B2"/>
    <w:rsid w:val="00A1018B"/>
    <w:rsid w:val="00A123A8"/>
    <w:rsid w:val="00A12B8E"/>
    <w:rsid w:val="00A20B18"/>
    <w:rsid w:val="00A23C83"/>
    <w:rsid w:val="00A27B84"/>
    <w:rsid w:val="00A30E50"/>
    <w:rsid w:val="00A33EE6"/>
    <w:rsid w:val="00A3581F"/>
    <w:rsid w:val="00A402F6"/>
    <w:rsid w:val="00A416A5"/>
    <w:rsid w:val="00A5284E"/>
    <w:rsid w:val="00A57404"/>
    <w:rsid w:val="00A65AFC"/>
    <w:rsid w:val="00A74D34"/>
    <w:rsid w:val="00A85739"/>
    <w:rsid w:val="00A87B27"/>
    <w:rsid w:val="00A9052F"/>
    <w:rsid w:val="00AA1747"/>
    <w:rsid w:val="00AA27C0"/>
    <w:rsid w:val="00AB535F"/>
    <w:rsid w:val="00B01755"/>
    <w:rsid w:val="00B0324E"/>
    <w:rsid w:val="00B041BA"/>
    <w:rsid w:val="00B22F66"/>
    <w:rsid w:val="00B35B29"/>
    <w:rsid w:val="00B37861"/>
    <w:rsid w:val="00B52FED"/>
    <w:rsid w:val="00B72B71"/>
    <w:rsid w:val="00B74351"/>
    <w:rsid w:val="00B750AF"/>
    <w:rsid w:val="00B92699"/>
    <w:rsid w:val="00BA51C8"/>
    <w:rsid w:val="00BC5692"/>
    <w:rsid w:val="00C2003D"/>
    <w:rsid w:val="00C2752B"/>
    <w:rsid w:val="00C56106"/>
    <w:rsid w:val="00C57114"/>
    <w:rsid w:val="00C65554"/>
    <w:rsid w:val="00C749E5"/>
    <w:rsid w:val="00C770F6"/>
    <w:rsid w:val="00C87DC1"/>
    <w:rsid w:val="00CA01C3"/>
    <w:rsid w:val="00CA2A5F"/>
    <w:rsid w:val="00CC4FBE"/>
    <w:rsid w:val="00CE25C5"/>
    <w:rsid w:val="00CE53A8"/>
    <w:rsid w:val="00CF3179"/>
    <w:rsid w:val="00CF5155"/>
    <w:rsid w:val="00D04389"/>
    <w:rsid w:val="00D40128"/>
    <w:rsid w:val="00D43148"/>
    <w:rsid w:val="00D63F7B"/>
    <w:rsid w:val="00D745D3"/>
    <w:rsid w:val="00D83D74"/>
    <w:rsid w:val="00D842C4"/>
    <w:rsid w:val="00DB13DF"/>
    <w:rsid w:val="00DE1EEF"/>
    <w:rsid w:val="00DE6CC8"/>
    <w:rsid w:val="00DF1BB4"/>
    <w:rsid w:val="00E001A7"/>
    <w:rsid w:val="00E4204B"/>
    <w:rsid w:val="00E44897"/>
    <w:rsid w:val="00E60303"/>
    <w:rsid w:val="00E620DE"/>
    <w:rsid w:val="00E635B5"/>
    <w:rsid w:val="00E97F2E"/>
    <w:rsid w:val="00EA499C"/>
    <w:rsid w:val="00EC58BC"/>
    <w:rsid w:val="00ED4808"/>
    <w:rsid w:val="00EF3F35"/>
    <w:rsid w:val="00EF6533"/>
    <w:rsid w:val="00F07ED8"/>
    <w:rsid w:val="00F1192E"/>
    <w:rsid w:val="00F30CB0"/>
    <w:rsid w:val="00F54B65"/>
    <w:rsid w:val="00F56772"/>
    <w:rsid w:val="00F64CE9"/>
    <w:rsid w:val="00F7103E"/>
    <w:rsid w:val="00F7604D"/>
    <w:rsid w:val="00F80581"/>
    <w:rsid w:val="00F81662"/>
    <w:rsid w:val="00F9268C"/>
    <w:rsid w:val="00FB5C26"/>
    <w:rsid w:val="00FD05FB"/>
    <w:rsid w:val="00FD4042"/>
    <w:rsid w:val="00FF7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5705"/>
  <w15:docId w15:val="{5AD3FC78-ED86-479C-A096-C4774FE8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404"/>
    <w:pPr>
      <w:ind w:left="720"/>
      <w:contextualSpacing/>
    </w:pPr>
  </w:style>
  <w:style w:type="table" w:styleId="Grilledutableau">
    <w:name w:val="Table Grid"/>
    <w:basedOn w:val="TableauNormal"/>
    <w:uiPriority w:val="59"/>
    <w:rsid w:val="00FF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17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1728"/>
    <w:rPr>
      <w:rFonts w:ascii="Tahoma" w:hAnsi="Tahoma" w:cs="Tahoma"/>
      <w:sz w:val="16"/>
      <w:szCs w:val="16"/>
    </w:rPr>
  </w:style>
  <w:style w:type="character" w:styleId="Lienhypertexte">
    <w:name w:val="Hyperlink"/>
    <w:basedOn w:val="Policepardfaut"/>
    <w:uiPriority w:val="99"/>
    <w:unhideWhenUsed/>
    <w:rsid w:val="00EF3F35"/>
    <w:rPr>
      <w:color w:val="0000FF" w:themeColor="hyperlink"/>
      <w:u w:val="single"/>
    </w:rPr>
  </w:style>
  <w:style w:type="character" w:styleId="Mentionnonrsolue">
    <w:name w:val="Unresolved Mention"/>
    <w:basedOn w:val="Policepardfaut"/>
    <w:uiPriority w:val="99"/>
    <w:semiHidden/>
    <w:unhideWhenUsed/>
    <w:rsid w:val="00A5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2418">
      <w:bodyDiv w:val="1"/>
      <w:marLeft w:val="0"/>
      <w:marRight w:val="0"/>
      <w:marTop w:val="0"/>
      <w:marBottom w:val="0"/>
      <w:divBdr>
        <w:top w:val="none" w:sz="0" w:space="0" w:color="auto"/>
        <w:left w:val="none" w:sz="0" w:space="0" w:color="auto"/>
        <w:bottom w:val="none" w:sz="0" w:space="0" w:color="auto"/>
        <w:right w:val="none" w:sz="0" w:space="0" w:color="auto"/>
      </w:divBdr>
    </w:div>
    <w:div w:id="17721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tement@mairie-clisso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468D-1B7B-4347-A5CB-A7808B98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Emeriau</dc:creator>
  <cp:lastModifiedBy>Anne HAMELIN</cp:lastModifiedBy>
  <cp:revision>9</cp:revision>
  <cp:lastPrinted>2017-03-29T10:02:00Z</cp:lastPrinted>
  <dcterms:created xsi:type="dcterms:W3CDTF">2022-09-12T08:15:00Z</dcterms:created>
  <dcterms:modified xsi:type="dcterms:W3CDTF">2023-01-16T10:13:00Z</dcterms:modified>
</cp:coreProperties>
</file>